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1</w:t>
      </w: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REFERENCIA: Convocatoria Publica No.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03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Fonts w:ascii="Tahoma" w:cs="Tahoma" w:eastAsia="Tahoma" w:hAnsi="Tahoma"/>
          <w:rtl w:val="0"/>
        </w:rPr>
        <w:t xml:space="preserve">4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 DEL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.9999999999999964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reciprocidad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[Firma del proponente o de su Representante Legal]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2353627</wp:posOffset>
          </wp:positionH>
          <wp:positionV relativeFrom="paragraph">
            <wp:posOffset>-85724</wp:posOffset>
          </wp:positionV>
          <wp:extent cx="905827" cy="677401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Convocatoria Pública N° CP-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03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-202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4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37D39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U9deSt7kGx7h1O4xNZgtTkuMRg==">CgMxLjA4AHIhMTFLNHdGUXR4RnN1a3Vua0JHRmQ2MVVPM0ZRMlNaakVD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